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D75" w:rsidRDefault="00D22D75" w:rsidP="00D22D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 xml:space="preserve">RAN5 </w:t>
      </w:r>
      <w:r w:rsidRPr="00FD2E08">
        <w:rPr>
          <w:b/>
          <w:noProof/>
          <w:sz w:val="24"/>
          <w:lang w:eastAsia="ja-JP"/>
        </w:rPr>
        <w:t>#</w:t>
      </w:r>
      <w:r w:rsidR="00367BAE">
        <w:rPr>
          <w:b/>
          <w:noProof/>
          <w:sz w:val="24"/>
          <w:lang w:eastAsia="ja-JP"/>
        </w:rPr>
        <w:t>5-5G-NR Adhoc</w:t>
      </w:r>
      <w:r>
        <w:rPr>
          <w:b/>
          <w:i/>
          <w:noProof/>
          <w:sz w:val="28"/>
        </w:rPr>
        <w:tab/>
      </w:r>
      <w:bookmarkStart w:id="0" w:name="_Hlk1171550"/>
      <w:r w:rsidR="00FE7B12" w:rsidRPr="00FE7B12">
        <w:rPr>
          <w:b/>
          <w:i/>
          <w:noProof/>
          <w:sz w:val="28"/>
        </w:rPr>
        <w:t>R5-19</w:t>
      </w:r>
      <w:bookmarkEnd w:id="0"/>
      <w:r w:rsidR="00F05BA1">
        <w:rPr>
          <w:b/>
          <w:i/>
          <w:noProof/>
          <w:sz w:val="28"/>
        </w:rPr>
        <w:t>3186</w:t>
      </w:r>
    </w:p>
    <w:p w:rsidR="00D22D75" w:rsidRPr="00720485" w:rsidRDefault="00367BAE" w:rsidP="00D22D75">
      <w:pPr>
        <w:pStyle w:val="CRCoverPage"/>
        <w:outlineLvl w:val="0"/>
        <w:rPr>
          <w:rFonts w:cs="Arial"/>
          <w:b/>
          <w:bCs/>
          <w:noProof/>
          <w:sz w:val="24"/>
          <w:szCs w:val="24"/>
          <w:lang w:eastAsia="ja-JP"/>
        </w:rPr>
      </w:pPr>
      <w:r>
        <w:rPr>
          <w:b/>
          <w:noProof/>
          <w:sz w:val="24"/>
          <w:lang w:eastAsia="ja-JP"/>
        </w:rPr>
        <w:t>Xi’an</w:t>
      </w:r>
      <w:r w:rsidR="00D22D75"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China</w:t>
      </w:r>
      <w:r w:rsidR="00D22D75" w:rsidRPr="005678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D22D75" w:rsidRPr="00EA5E53">
        <w:rPr>
          <w:b/>
          <w:noProof/>
          <w:sz w:val="24"/>
          <w:vertAlign w:val="superscript"/>
          <w:lang w:eastAsia="ja-JP"/>
        </w:rPr>
        <w:t>th</w:t>
      </w:r>
      <w:r w:rsidR="00D22D75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12</w:t>
      </w:r>
      <w:r>
        <w:rPr>
          <w:b/>
          <w:noProof/>
          <w:sz w:val="24"/>
          <w:vertAlign w:val="superscript"/>
          <w:lang w:eastAsia="ja-JP"/>
        </w:rPr>
        <w:t>th</w:t>
      </w:r>
      <w:r w:rsidR="00D22D75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April</w:t>
      </w:r>
      <w:r w:rsidR="00D22D75" w:rsidRPr="005678AD">
        <w:rPr>
          <w:rFonts w:hint="eastAsia"/>
          <w:b/>
          <w:noProof/>
          <w:sz w:val="24"/>
        </w:rPr>
        <w:t xml:space="preserve"> 201</w:t>
      </w:r>
      <w:r w:rsidR="00D22D75">
        <w:rPr>
          <w:rFonts w:hint="eastAsia"/>
          <w:b/>
          <w:noProof/>
          <w:sz w:val="24"/>
          <w:lang w:eastAsia="ja-JP"/>
        </w:rPr>
        <w:t>9</w:t>
      </w:r>
    </w:p>
    <w:p w:rsidR="00D22D75" w:rsidRPr="007973F8" w:rsidRDefault="00D22D75" w:rsidP="00D22D75">
      <w:pPr>
        <w:spacing w:before="120" w:after="120"/>
        <w:rPr>
          <w:rFonts w:ascii="Arial" w:hAnsi="Arial"/>
          <w:lang w:val="pt-BR"/>
        </w:rPr>
      </w:pPr>
      <w:r w:rsidRPr="00A972DC">
        <w:rPr>
          <w:rFonts w:ascii="Arial" w:eastAsia="MS Mincho" w:hAnsi="Arial"/>
          <w:b/>
          <w:sz w:val="24"/>
          <w:lang w:eastAsia="en-US"/>
        </w:rPr>
        <w:t>Title:</w:t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sz w:val="24"/>
        </w:rPr>
        <w:tab/>
      </w:r>
      <w:r w:rsidRPr="00A972DC">
        <w:rPr>
          <w:rFonts w:ascii="Arial" w:eastAsia="MS Mincho" w:hAnsi="Arial"/>
          <w:sz w:val="24"/>
        </w:rPr>
        <w:tab/>
      </w:r>
      <w:r w:rsidR="00367BAE" w:rsidRPr="00367BAE">
        <w:rPr>
          <w:rFonts w:ascii="Arial" w:hAnsi="Arial"/>
          <w:lang w:val="pt-BR"/>
        </w:rPr>
        <w:t>ON Refsens MU</w:t>
      </w:r>
    </w:p>
    <w:p w:rsidR="00D22D75" w:rsidRDefault="00D22D75" w:rsidP="00D22D75">
      <w:pPr>
        <w:spacing w:before="120" w:after="120"/>
        <w:ind w:left="1985" w:hanging="1985"/>
        <w:rPr>
          <w:rFonts w:ascii="Arial" w:hAnsi="Arial"/>
        </w:rPr>
      </w:pPr>
      <w:r w:rsidRPr="00A972DC">
        <w:rPr>
          <w:rFonts w:ascii="Arial" w:eastAsia="MS Mincho" w:hAnsi="Arial"/>
          <w:b/>
          <w:sz w:val="24"/>
          <w:lang w:eastAsia="en-US"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7973F8">
        <w:rPr>
          <w:rFonts w:ascii="Arial" w:hAnsi="Arial"/>
          <w:lang w:val="pt-BR"/>
        </w:rPr>
        <w:t>Keysight Technologies</w:t>
      </w:r>
    </w:p>
    <w:p w:rsidR="00D22D75" w:rsidRPr="004C4437" w:rsidRDefault="00D22D75" w:rsidP="00D22D75">
      <w:pPr>
        <w:spacing w:before="120" w:after="120"/>
        <w:ind w:left="1985" w:hanging="1985"/>
        <w:rPr>
          <w:rFonts w:ascii="Arial" w:eastAsia="MS Mincho" w:hAnsi="Arial"/>
          <w:sz w:val="28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Agenda Item: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7A12F1">
        <w:rPr>
          <w:rFonts w:ascii="Arial" w:hAnsi="Arial"/>
          <w:lang w:val="pt-BR"/>
        </w:rPr>
        <w:t>4.1.16</w:t>
      </w:r>
    </w:p>
    <w:p w:rsidR="00D22D75" w:rsidRPr="003134B7" w:rsidRDefault="00D22D75" w:rsidP="00D22D75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Document for: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350F5E">
        <w:rPr>
          <w:rFonts w:ascii="Arial" w:hAnsi="Arial"/>
          <w:lang w:val="pt-BR"/>
        </w:rPr>
        <w:t>Endorsement</w:t>
      </w:r>
      <w:r w:rsidRPr="00561F6A">
        <w:rPr>
          <w:rFonts w:ascii="Arial" w:eastAsia="MS Mincho" w:hAnsi="Arial" w:hint="eastAsia"/>
          <w:sz w:val="24"/>
          <w:lang w:val="pt-BR"/>
        </w:rPr>
        <w:t xml:space="preserve"> </w:t>
      </w:r>
    </w:p>
    <w:p w:rsidR="00D22D75" w:rsidRPr="00DD1D00" w:rsidRDefault="00D22D75" w:rsidP="00D22D75">
      <w:pPr>
        <w:pBdr>
          <w:bottom w:val="single" w:sz="4" w:space="1" w:color="auto"/>
        </w:pBdr>
        <w:spacing w:before="120" w:after="120"/>
        <w:rPr>
          <w:rFonts w:ascii="Arial" w:hAnsi="Arial"/>
          <w:lang w:val="pt-BR"/>
        </w:rPr>
      </w:pPr>
    </w:p>
    <w:p w:rsidR="00D22D75" w:rsidRPr="00A33974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 w:rsidRPr="00A33974">
        <w:rPr>
          <w:b/>
          <w:noProof w:val="0"/>
        </w:rPr>
        <w:t>1.</w:t>
      </w:r>
      <w:r w:rsidRPr="00A33974">
        <w:rPr>
          <w:b/>
          <w:noProof w:val="0"/>
        </w:rPr>
        <w:tab/>
        <w:t>Introduction</w:t>
      </w:r>
    </w:p>
    <w:p w:rsidR="00E455DC" w:rsidRPr="00E813FF" w:rsidRDefault="00D22D75" w:rsidP="00D22D75">
      <w:pPr>
        <w:spacing w:before="120" w:after="120"/>
        <w:rPr>
          <w:rFonts w:eastAsia="MS Mincho"/>
          <w:sz w:val="24"/>
          <w:lang w:val="en-GB"/>
        </w:rPr>
      </w:pPr>
      <w:r w:rsidRPr="00E813FF">
        <w:rPr>
          <w:rFonts w:eastAsia="MS Mincho"/>
          <w:sz w:val="24"/>
          <w:lang w:val="en-GB"/>
        </w:rPr>
        <w:t>Latest version of TR38.903</w:t>
      </w:r>
      <w:r w:rsidR="0056274B">
        <w:rPr>
          <w:rFonts w:eastAsia="MS Mincho"/>
          <w:sz w:val="24"/>
          <w:lang w:val="en-GB"/>
        </w:rPr>
        <w:t xml:space="preserve"> [1]</w:t>
      </w:r>
      <w:r w:rsidRPr="00E813FF">
        <w:rPr>
          <w:rFonts w:eastAsia="MS Mincho"/>
          <w:sz w:val="24"/>
          <w:lang w:val="en-GB"/>
        </w:rPr>
        <w:t xml:space="preserve"> still has square brackets on </w:t>
      </w:r>
      <w:r w:rsidR="007A12F1">
        <w:rPr>
          <w:rFonts w:eastAsia="MS Mincho"/>
          <w:sz w:val="24"/>
          <w:lang w:val="en-GB"/>
        </w:rPr>
        <w:t>some MU terms for REFSENS</w:t>
      </w:r>
      <w:r w:rsidR="00C940AC">
        <w:rPr>
          <w:rFonts w:eastAsia="MS Mincho"/>
          <w:sz w:val="24"/>
          <w:lang w:val="en-GB"/>
        </w:rPr>
        <w:t>.</w:t>
      </w:r>
      <w:r w:rsidR="00E455DC">
        <w:rPr>
          <w:rFonts w:eastAsia="MS Mincho"/>
          <w:sz w:val="24"/>
          <w:lang w:val="en-GB"/>
        </w:rPr>
        <w:t xml:space="preserve"> </w:t>
      </w:r>
    </w:p>
    <w:p w:rsidR="00D22D75" w:rsidRPr="00E813FF" w:rsidRDefault="00D22D75" w:rsidP="00D22D75">
      <w:pPr>
        <w:spacing w:before="120" w:after="120"/>
        <w:rPr>
          <w:rFonts w:eastAsia="MS Mincho"/>
          <w:sz w:val="24"/>
          <w:lang w:val="en-GB"/>
        </w:rPr>
      </w:pPr>
      <w:r w:rsidRPr="00E813FF">
        <w:rPr>
          <w:rFonts w:eastAsia="MS Mincho" w:hint="eastAsia"/>
          <w:sz w:val="24"/>
          <w:lang w:val="en-GB"/>
        </w:rPr>
        <w:t xml:space="preserve">This contribution </w:t>
      </w:r>
      <w:r w:rsidRPr="00E813FF">
        <w:rPr>
          <w:rFonts w:eastAsia="MS Mincho"/>
          <w:sz w:val="24"/>
          <w:lang w:val="en-GB"/>
        </w:rPr>
        <w:t xml:space="preserve">provides company views on these topics and makes proposals to conclude this </w:t>
      </w:r>
      <w:r w:rsidR="007A12F1">
        <w:rPr>
          <w:rFonts w:eastAsia="MS Mincho"/>
          <w:sz w:val="24"/>
          <w:lang w:val="en-GB"/>
        </w:rPr>
        <w:t>FR2 REFSENS MU value</w:t>
      </w:r>
      <w:r w:rsidRPr="00E813FF">
        <w:rPr>
          <w:rFonts w:eastAsia="MS Mincho"/>
          <w:sz w:val="24"/>
          <w:lang w:val="en-GB"/>
        </w:rPr>
        <w:t>.</w: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2</w:t>
      </w:r>
      <w:r w:rsidRPr="00A33974">
        <w:rPr>
          <w:b/>
          <w:noProof w:val="0"/>
        </w:rPr>
        <w:t>.</w:t>
      </w:r>
      <w:r w:rsidRPr="00A33974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Discussion</w:t>
      </w:r>
    </w:p>
    <w:p w:rsidR="00D22D75" w:rsidRPr="001C0D0F" w:rsidRDefault="00D22D75" w:rsidP="008D2630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1C0D0F">
        <w:rPr>
          <w:rFonts w:ascii="Arial" w:hAnsi="Arial" w:cs="Arial"/>
          <w:b/>
          <w:color w:val="auto"/>
          <w:sz w:val="22"/>
        </w:rPr>
        <w:t>2.1</w:t>
      </w:r>
      <w:r w:rsidRPr="001C0D0F">
        <w:rPr>
          <w:rFonts w:ascii="Arial" w:hAnsi="Arial" w:cs="Arial"/>
          <w:b/>
          <w:color w:val="auto"/>
          <w:sz w:val="22"/>
        </w:rPr>
        <w:tab/>
      </w:r>
      <w:r w:rsidR="005F4472">
        <w:rPr>
          <w:rFonts w:ascii="Arial" w:hAnsi="Arial" w:cs="Arial"/>
          <w:b/>
          <w:color w:val="auto"/>
          <w:sz w:val="22"/>
        </w:rPr>
        <w:t>DL power step size</w:t>
      </w:r>
    </w:p>
    <w:p w:rsidR="005F4472" w:rsidRDefault="005F4472" w:rsidP="005F4472">
      <w:pPr>
        <w:spacing w:before="120" w:after="120"/>
        <w:rPr>
          <w:sz w:val="22"/>
        </w:rPr>
      </w:pPr>
      <w:r>
        <w:rPr>
          <w:sz w:val="22"/>
        </w:rPr>
        <w:t xml:space="preserve">Systematic error related to EIS spherical coverage is associated with DL power step sized used in Rx beam peak search procedure defined in TS 38.521-2 Annex K.1.2 as 0.2 </w:t>
      </w:r>
      <w:proofErr w:type="spellStart"/>
      <w:r>
        <w:rPr>
          <w:sz w:val="22"/>
        </w:rPr>
        <w:t>dB.</w:t>
      </w:r>
      <w:proofErr w:type="spellEnd"/>
    </w:p>
    <w:p w:rsidR="001B6D81" w:rsidRDefault="005F4472" w:rsidP="005F4472">
      <w:pPr>
        <w:spacing w:before="120" w:after="120"/>
        <w:rPr>
          <w:sz w:val="22"/>
        </w:rPr>
      </w:pPr>
      <w:r w:rsidRPr="001B6D81">
        <w:rPr>
          <w:b/>
          <w:sz w:val="22"/>
        </w:rPr>
        <w:t>Proposal 1: Set Systematic error related to EIS spherical coverage as 0.2 dB</w:t>
      </w:r>
      <w:r w:rsidR="00A70948">
        <w:rPr>
          <w:b/>
          <w:sz w:val="22"/>
        </w:rPr>
        <w:t xml:space="preserve"> for 15 cm and 30 cm QZ in EIS measurements</w:t>
      </w:r>
      <w:r w:rsidRPr="001B6D81">
        <w:rPr>
          <w:sz w:val="22"/>
        </w:rPr>
        <w:t xml:space="preserve">. </w:t>
      </w:r>
    </w:p>
    <w:p w:rsidR="00A63CBC" w:rsidRDefault="00A63CBC" w:rsidP="005F4472">
      <w:pPr>
        <w:spacing w:before="120" w:after="120"/>
        <w:rPr>
          <w:sz w:val="22"/>
        </w:rPr>
      </w:pPr>
    </w:p>
    <w:p w:rsidR="00E455DC" w:rsidRPr="001C0D0F" w:rsidRDefault="005F4472" w:rsidP="00E455DC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1B6D81">
        <w:rPr>
          <w:sz w:val="22"/>
        </w:rPr>
        <w:t xml:space="preserve"> </w:t>
      </w:r>
      <w:r w:rsidR="00E455DC" w:rsidRPr="001C0D0F">
        <w:rPr>
          <w:rFonts w:ascii="Arial" w:hAnsi="Arial" w:cs="Arial"/>
          <w:b/>
          <w:color w:val="auto"/>
          <w:sz w:val="22"/>
        </w:rPr>
        <w:t>2.</w:t>
      </w:r>
      <w:r w:rsidR="00E455DC">
        <w:rPr>
          <w:rFonts w:ascii="Arial" w:hAnsi="Arial" w:cs="Arial"/>
          <w:b/>
          <w:color w:val="auto"/>
          <w:sz w:val="22"/>
        </w:rPr>
        <w:t>2</w:t>
      </w:r>
      <w:r w:rsidR="00E455DC" w:rsidRPr="001C0D0F">
        <w:rPr>
          <w:rFonts w:ascii="Arial" w:hAnsi="Arial" w:cs="Arial"/>
          <w:b/>
          <w:color w:val="auto"/>
          <w:sz w:val="22"/>
        </w:rPr>
        <w:tab/>
      </w:r>
      <w:r w:rsidR="00E455DC">
        <w:rPr>
          <w:rFonts w:ascii="Arial" w:hAnsi="Arial" w:cs="Arial"/>
          <w:b/>
          <w:color w:val="auto"/>
          <w:sz w:val="22"/>
        </w:rPr>
        <w:t>Uncertainty of the network analyzer</w:t>
      </w:r>
    </w:p>
    <w:p w:rsidR="00E455DC" w:rsidRDefault="00E455DC" w:rsidP="00E455DC">
      <w:pPr>
        <w:spacing w:before="120" w:after="120"/>
        <w:rPr>
          <w:sz w:val="22"/>
        </w:rPr>
      </w:pPr>
      <w:r>
        <w:rPr>
          <w:sz w:val="22"/>
        </w:rPr>
        <w:t>Uncertainty of the network analyzer value was concluded in [2] with value 0.7</w:t>
      </w:r>
      <w:r w:rsidR="00EE4DE8">
        <w:rPr>
          <w:sz w:val="22"/>
        </w:rPr>
        <w:t>3</w:t>
      </w:r>
      <w:r>
        <w:rPr>
          <w:sz w:val="22"/>
        </w:rPr>
        <w:t xml:space="preserve"> dB for Tx scenarios.</w:t>
      </w:r>
      <w:r w:rsidR="00EE4DE8">
        <w:rPr>
          <w:sz w:val="22"/>
        </w:rPr>
        <w:t xml:space="preserve"> Considering DL paths for Rx scenarios are calibrated using same approach </w:t>
      </w:r>
      <w:r w:rsidR="006822B9">
        <w:rPr>
          <w:sz w:val="22"/>
        </w:rPr>
        <w:t>as</w:t>
      </w:r>
      <w:r w:rsidR="00EE4DE8">
        <w:rPr>
          <w:sz w:val="22"/>
        </w:rPr>
        <w:t xml:space="preserve"> UL paths for Tx scenarios, the same Tx uncertainty value</w:t>
      </w:r>
      <w:r w:rsidR="00FB480B">
        <w:rPr>
          <w:sz w:val="22"/>
        </w:rPr>
        <w:t xml:space="preserve"> 0.73 dB</w:t>
      </w:r>
      <w:r w:rsidR="00EE4DE8">
        <w:rPr>
          <w:sz w:val="22"/>
        </w:rPr>
        <w:t xml:space="preserve"> also applies to Rx scenarios.</w:t>
      </w:r>
    </w:p>
    <w:p w:rsidR="00E455DC" w:rsidRDefault="00E455DC" w:rsidP="00E455DC">
      <w:pPr>
        <w:spacing w:before="120" w:after="120"/>
        <w:rPr>
          <w:sz w:val="22"/>
        </w:rPr>
      </w:pPr>
      <w:r w:rsidRPr="001B6D81">
        <w:rPr>
          <w:b/>
          <w:sz w:val="22"/>
        </w:rPr>
        <w:t xml:space="preserve">Proposal </w:t>
      </w:r>
      <w:r w:rsidR="0056274B">
        <w:rPr>
          <w:b/>
          <w:sz w:val="22"/>
        </w:rPr>
        <w:t>2</w:t>
      </w:r>
      <w:r w:rsidRPr="001B6D81">
        <w:rPr>
          <w:b/>
          <w:sz w:val="22"/>
        </w:rPr>
        <w:t xml:space="preserve">: Set </w:t>
      </w:r>
      <w:r w:rsidR="00EE4DE8">
        <w:rPr>
          <w:b/>
          <w:sz w:val="22"/>
        </w:rPr>
        <w:t>Uncertainty of the network analyzer</w:t>
      </w:r>
      <w:r w:rsidRPr="001B6D81">
        <w:rPr>
          <w:b/>
          <w:sz w:val="22"/>
        </w:rPr>
        <w:t xml:space="preserve"> as 0.</w:t>
      </w:r>
      <w:r w:rsidR="00EE4DE8">
        <w:rPr>
          <w:b/>
          <w:sz w:val="22"/>
        </w:rPr>
        <w:t>73</w:t>
      </w:r>
      <w:r w:rsidRPr="001B6D81">
        <w:rPr>
          <w:b/>
          <w:sz w:val="22"/>
        </w:rPr>
        <w:t xml:space="preserve"> dB</w:t>
      </w:r>
      <w:r w:rsidR="00A70948">
        <w:rPr>
          <w:b/>
          <w:sz w:val="22"/>
        </w:rPr>
        <w:t xml:space="preserve"> for 15 cm and 30 cm QZ in EIS measurements</w:t>
      </w:r>
      <w:r w:rsidRPr="001B6D81">
        <w:rPr>
          <w:sz w:val="22"/>
        </w:rPr>
        <w:t xml:space="preserve">. </w:t>
      </w:r>
    </w:p>
    <w:p w:rsidR="00A63CBC" w:rsidRDefault="00A63CBC" w:rsidP="00E455DC">
      <w:pPr>
        <w:spacing w:before="120" w:after="120"/>
        <w:rPr>
          <w:sz w:val="22"/>
        </w:rPr>
      </w:pPr>
    </w:p>
    <w:p w:rsidR="00A63CBC" w:rsidRPr="001C0D0F" w:rsidRDefault="00A63CBC" w:rsidP="00A63CBC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1C0D0F">
        <w:rPr>
          <w:rFonts w:ascii="Arial" w:hAnsi="Arial" w:cs="Arial"/>
          <w:b/>
          <w:color w:val="auto"/>
          <w:sz w:val="22"/>
        </w:rPr>
        <w:t>2.</w:t>
      </w:r>
      <w:r>
        <w:rPr>
          <w:rFonts w:ascii="Arial" w:hAnsi="Arial" w:cs="Arial"/>
          <w:b/>
          <w:color w:val="auto"/>
          <w:sz w:val="22"/>
        </w:rPr>
        <w:t>3</w:t>
      </w:r>
      <w:r w:rsidRPr="001C0D0F">
        <w:rPr>
          <w:rFonts w:ascii="Arial" w:hAnsi="Arial" w:cs="Arial"/>
          <w:b/>
          <w:color w:val="auto"/>
          <w:sz w:val="22"/>
        </w:rPr>
        <w:tab/>
      </w:r>
      <w:r w:rsidRPr="00A63CBC">
        <w:rPr>
          <w:rFonts w:ascii="Arial" w:hAnsi="Arial" w:cs="Arial"/>
          <w:b/>
          <w:color w:val="auto"/>
          <w:sz w:val="22"/>
        </w:rPr>
        <w:t>Misalignment of positioning System</w:t>
      </w:r>
    </w:p>
    <w:p w:rsidR="00A63CBC" w:rsidRDefault="00A63CBC" w:rsidP="00A63CBC">
      <w:pPr>
        <w:spacing w:before="120" w:after="120"/>
        <w:rPr>
          <w:sz w:val="22"/>
        </w:rPr>
      </w:pPr>
      <w:r w:rsidRPr="00A63CBC">
        <w:rPr>
          <w:sz w:val="22"/>
        </w:rPr>
        <w:t>Misalignment of positioning System</w:t>
      </w:r>
      <w:r>
        <w:rPr>
          <w:sz w:val="22"/>
        </w:rPr>
        <w:t xml:space="preserve"> value was concluded in [4] with value 0 dB for Tx scenarios. Same value also applies to Rx measurements.</w:t>
      </w:r>
    </w:p>
    <w:p w:rsidR="00A63CBC" w:rsidRDefault="00A63CBC" w:rsidP="00E455DC">
      <w:pPr>
        <w:spacing w:before="120" w:after="120"/>
        <w:rPr>
          <w:sz w:val="22"/>
        </w:rPr>
      </w:pPr>
      <w:r w:rsidRPr="001B6D81">
        <w:rPr>
          <w:b/>
          <w:sz w:val="22"/>
        </w:rPr>
        <w:t xml:space="preserve">Proposal </w:t>
      </w:r>
      <w:r>
        <w:rPr>
          <w:b/>
          <w:sz w:val="22"/>
        </w:rPr>
        <w:t>3</w:t>
      </w:r>
      <w:r w:rsidRPr="001B6D81">
        <w:rPr>
          <w:b/>
          <w:sz w:val="22"/>
        </w:rPr>
        <w:t xml:space="preserve">: Set </w:t>
      </w:r>
      <w:r w:rsidRPr="00A63CBC">
        <w:rPr>
          <w:b/>
          <w:sz w:val="22"/>
        </w:rPr>
        <w:t>Misalignment of positioning System</w:t>
      </w:r>
      <w:r w:rsidRPr="001B6D81">
        <w:rPr>
          <w:b/>
          <w:sz w:val="22"/>
        </w:rPr>
        <w:t xml:space="preserve"> as </w:t>
      </w:r>
      <w:r>
        <w:rPr>
          <w:b/>
          <w:sz w:val="22"/>
        </w:rPr>
        <w:t>0</w:t>
      </w:r>
      <w:r w:rsidRPr="001B6D81">
        <w:rPr>
          <w:b/>
          <w:sz w:val="22"/>
        </w:rPr>
        <w:t xml:space="preserve"> dB</w:t>
      </w:r>
      <w:r w:rsidR="00A70948">
        <w:rPr>
          <w:b/>
          <w:sz w:val="22"/>
        </w:rPr>
        <w:t xml:space="preserve"> for 15 cm and 30 cm QZ in EIS measurements</w:t>
      </w:r>
      <w:r w:rsidRPr="001B6D81">
        <w:rPr>
          <w:sz w:val="22"/>
        </w:rPr>
        <w:t xml:space="preserve">. </w:t>
      </w:r>
    </w:p>
    <w:p w:rsidR="00A63CBC" w:rsidRDefault="00A63CBC" w:rsidP="00E455DC">
      <w:pPr>
        <w:spacing w:before="120" w:after="120"/>
        <w:rPr>
          <w:sz w:val="22"/>
        </w:rPr>
      </w:pPr>
    </w:p>
    <w:p w:rsidR="00FB480B" w:rsidRPr="001C0D0F" w:rsidRDefault="00FB480B" w:rsidP="00FB480B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1C0D0F">
        <w:rPr>
          <w:rFonts w:ascii="Arial" w:hAnsi="Arial" w:cs="Arial"/>
          <w:b/>
          <w:color w:val="auto"/>
          <w:sz w:val="22"/>
        </w:rPr>
        <w:t>2.</w:t>
      </w:r>
      <w:r w:rsidR="001554BF">
        <w:rPr>
          <w:rFonts w:ascii="Arial" w:hAnsi="Arial" w:cs="Arial"/>
          <w:b/>
          <w:color w:val="auto"/>
          <w:sz w:val="22"/>
        </w:rPr>
        <w:t>4</w:t>
      </w:r>
      <w:r w:rsidRPr="001C0D0F">
        <w:rPr>
          <w:rFonts w:ascii="Arial" w:hAnsi="Arial" w:cs="Arial"/>
          <w:b/>
          <w:color w:val="auto"/>
          <w:sz w:val="22"/>
        </w:rPr>
        <w:tab/>
      </w:r>
      <w:r w:rsidRPr="00FB480B">
        <w:rPr>
          <w:rFonts w:ascii="Arial" w:hAnsi="Arial" w:cs="Arial"/>
          <w:b/>
          <w:color w:val="auto"/>
          <w:sz w:val="22"/>
        </w:rPr>
        <w:t>Positioning and pointing misalignment between the reference antenna and the measurement antenna</w:t>
      </w:r>
    </w:p>
    <w:p w:rsidR="00FB480B" w:rsidRDefault="00FB480B" w:rsidP="00FB480B">
      <w:pPr>
        <w:spacing w:before="120" w:after="120"/>
        <w:rPr>
          <w:sz w:val="22"/>
        </w:rPr>
      </w:pPr>
      <w:r w:rsidRPr="00FB480B">
        <w:rPr>
          <w:sz w:val="22"/>
        </w:rPr>
        <w:t>Positioning and pointing misalignment between the reference antenna and the measurement antenna</w:t>
      </w:r>
      <w:r>
        <w:rPr>
          <w:sz w:val="22"/>
        </w:rPr>
        <w:t xml:space="preserve"> value was concluded in [3] with value 0.01 dB for Tx scenarios. Same value also applies to Rx measurements.</w:t>
      </w:r>
    </w:p>
    <w:p w:rsidR="00FB480B" w:rsidRDefault="00FB480B" w:rsidP="00FB480B">
      <w:pPr>
        <w:spacing w:before="120" w:after="120"/>
        <w:rPr>
          <w:sz w:val="22"/>
        </w:rPr>
      </w:pPr>
      <w:r w:rsidRPr="001B6D81">
        <w:rPr>
          <w:b/>
          <w:sz w:val="22"/>
        </w:rPr>
        <w:t xml:space="preserve">Proposal </w:t>
      </w:r>
      <w:r w:rsidR="001554BF">
        <w:rPr>
          <w:b/>
          <w:sz w:val="22"/>
        </w:rPr>
        <w:t>4</w:t>
      </w:r>
      <w:r w:rsidRPr="001B6D81">
        <w:rPr>
          <w:b/>
          <w:sz w:val="22"/>
        </w:rPr>
        <w:t xml:space="preserve">: Set </w:t>
      </w:r>
      <w:r w:rsidRPr="00FB480B">
        <w:rPr>
          <w:b/>
          <w:sz w:val="22"/>
        </w:rPr>
        <w:t>Positioning and pointing misalignment between the reference antenna and the measurement antenna</w:t>
      </w:r>
      <w:r w:rsidRPr="001B6D81">
        <w:rPr>
          <w:b/>
          <w:sz w:val="22"/>
        </w:rPr>
        <w:t xml:space="preserve"> as 0.</w:t>
      </w:r>
      <w:r>
        <w:rPr>
          <w:b/>
          <w:sz w:val="22"/>
        </w:rPr>
        <w:t>01</w:t>
      </w:r>
      <w:r w:rsidRPr="001B6D81">
        <w:rPr>
          <w:b/>
          <w:sz w:val="22"/>
        </w:rPr>
        <w:t xml:space="preserve"> dB</w:t>
      </w:r>
      <w:r w:rsidR="00A70948">
        <w:rPr>
          <w:b/>
          <w:sz w:val="22"/>
        </w:rPr>
        <w:t xml:space="preserve"> for 15 cm and 30 cm QZ in EIS measurements</w:t>
      </w:r>
      <w:r w:rsidRPr="001B6D81">
        <w:rPr>
          <w:sz w:val="22"/>
        </w:rPr>
        <w:t xml:space="preserve">. </w:t>
      </w:r>
    </w:p>
    <w:p w:rsidR="002A544F" w:rsidRDefault="002A544F" w:rsidP="00FB480B">
      <w:pPr>
        <w:spacing w:before="120" w:after="120"/>
        <w:rPr>
          <w:sz w:val="22"/>
        </w:rPr>
      </w:pPr>
    </w:p>
    <w:p w:rsidR="002A544F" w:rsidRPr="001C0D0F" w:rsidRDefault="002A544F" w:rsidP="002A544F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1C0D0F">
        <w:rPr>
          <w:rFonts w:ascii="Arial" w:hAnsi="Arial" w:cs="Arial"/>
          <w:b/>
          <w:color w:val="auto"/>
          <w:sz w:val="22"/>
        </w:rPr>
        <w:t>2.</w:t>
      </w:r>
      <w:r>
        <w:rPr>
          <w:rFonts w:ascii="Arial" w:hAnsi="Arial" w:cs="Arial"/>
          <w:b/>
          <w:color w:val="auto"/>
          <w:sz w:val="22"/>
        </w:rPr>
        <w:t>5</w:t>
      </w:r>
      <w:r w:rsidRPr="001C0D0F">
        <w:rPr>
          <w:rFonts w:ascii="Arial" w:hAnsi="Arial" w:cs="Arial"/>
          <w:b/>
          <w:color w:val="auto"/>
          <w:sz w:val="22"/>
        </w:rPr>
        <w:tab/>
      </w:r>
      <w:r>
        <w:rPr>
          <w:rFonts w:ascii="Arial" w:hAnsi="Arial" w:cs="Arial"/>
          <w:b/>
          <w:color w:val="auto"/>
          <w:sz w:val="22"/>
        </w:rPr>
        <w:t>Amplifier uncertainty</w:t>
      </w:r>
    </w:p>
    <w:p w:rsidR="002A544F" w:rsidRDefault="002A544F" w:rsidP="002A544F">
      <w:pPr>
        <w:spacing w:before="120" w:after="120"/>
        <w:rPr>
          <w:sz w:val="22"/>
        </w:rPr>
      </w:pPr>
      <w:r>
        <w:rPr>
          <w:sz w:val="22"/>
        </w:rPr>
        <w:t>Amplifier uncertainty value was concluded in [5] with value 2.1 dB for Tx scenarios. As DL paths also requires amplification, same value also applies to Rx scenarios.</w:t>
      </w:r>
    </w:p>
    <w:p w:rsidR="002A544F" w:rsidRDefault="002A544F" w:rsidP="002A544F">
      <w:pPr>
        <w:spacing w:before="120" w:after="120"/>
        <w:rPr>
          <w:sz w:val="22"/>
        </w:rPr>
      </w:pPr>
      <w:r w:rsidRPr="001B6D81">
        <w:rPr>
          <w:b/>
          <w:sz w:val="22"/>
        </w:rPr>
        <w:lastRenderedPageBreak/>
        <w:t xml:space="preserve">Proposal </w:t>
      </w:r>
      <w:r>
        <w:rPr>
          <w:b/>
          <w:sz w:val="22"/>
        </w:rPr>
        <w:t>5</w:t>
      </w:r>
      <w:r w:rsidRPr="001B6D81">
        <w:rPr>
          <w:b/>
          <w:sz w:val="22"/>
        </w:rPr>
        <w:t xml:space="preserve">: Set </w:t>
      </w:r>
      <w:r w:rsidRPr="006822B9">
        <w:rPr>
          <w:b/>
          <w:sz w:val="22"/>
        </w:rPr>
        <w:t>Amplifier uncertainty as 2.1 dB</w:t>
      </w:r>
      <w:r w:rsidR="00E4743D" w:rsidRPr="006822B9">
        <w:rPr>
          <w:b/>
          <w:sz w:val="22"/>
        </w:rPr>
        <w:t xml:space="preserve"> for DUT measurement stage and 0 dB for calibration stage</w:t>
      </w:r>
      <w:r w:rsidR="00A70948" w:rsidRPr="006822B9">
        <w:rPr>
          <w:b/>
          <w:sz w:val="22"/>
        </w:rPr>
        <w:t xml:space="preserve"> for 15 cm and 30 cm QZ in EIS measurements</w:t>
      </w:r>
      <w:r w:rsidRPr="006822B9">
        <w:rPr>
          <w:sz w:val="22"/>
        </w:rPr>
        <w:t>.</w:t>
      </w:r>
      <w:r w:rsidRPr="001B6D81">
        <w:rPr>
          <w:sz w:val="22"/>
        </w:rPr>
        <w:t xml:space="preserve"> </w:t>
      </w:r>
    </w:p>
    <w:p w:rsidR="002A544F" w:rsidRDefault="002A544F" w:rsidP="00FB480B">
      <w:pPr>
        <w:spacing w:before="120" w:after="120"/>
        <w:rPr>
          <w:sz w:val="22"/>
        </w:rPr>
      </w:pPr>
    </w:p>
    <w:p w:rsidR="002A544F" w:rsidRPr="001C0D0F" w:rsidRDefault="002A544F" w:rsidP="002A544F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1C0D0F">
        <w:rPr>
          <w:rFonts w:ascii="Arial" w:hAnsi="Arial" w:cs="Arial"/>
          <w:b/>
          <w:color w:val="auto"/>
          <w:sz w:val="22"/>
        </w:rPr>
        <w:t>2.</w:t>
      </w:r>
      <w:r>
        <w:rPr>
          <w:rFonts w:ascii="Arial" w:hAnsi="Arial" w:cs="Arial"/>
          <w:b/>
          <w:color w:val="auto"/>
          <w:sz w:val="22"/>
        </w:rPr>
        <w:t>6</w:t>
      </w:r>
      <w:r w:rsidRPr="001C0D0F">
        <w:rPr>
          <w:rFonts w:ascii="Arial" w:hAnsi="Arial" w:cs="Arial"/>
          <w:b/>
          <w:color w:val="auto"/>
          <w:sz w:val="22"/>
        </w:rPr>
        <w:tab/>
      </w:r>
      <w:proofErr w:type="spellStart"/>
      <w:r w:rsidRPr="002A544F">
        <w:rPr>
          <w:rFonts w:ascii="Arial" w:hAnsi="Arial" w:cs="Arial"/>
          <w:b/>
          <w:color w:val="auto"/>
          <w:sz w:val="22"/>
        </w:rPr>
        <w:t>gNB</w:t>
      </w:r>
      <w:proofErr w:type="spellEnd"/>
      <w:r w:rsidRPr="002A544F">
        <w:rPr>
          <w:rFonts w:ascii="Arial" w:hAnsi="Arial" w:cs="Arial"/>
          <w:b/>
          <w:color w:val="auto"/>
          <w:sz w:val="22"/>
        </w:rPr>
        <w:t xml:space="preserve"> uncertainty on absolute level</w:t>
      </w:r>
    </w:p>
    <w:p w:rsidR="002A544F" w:rsidRDefault="002A544F" w:rsidP="002A544F">
      <w:pPr>
        <w:spacing w:before="120" w:after="120"/>
        <w:rPr>
          <w:sz w:val="22"/>
        </w:rPr>
      </w:pPr>
      <w:proofErr w:type="spellStart"/>
      <w:r w:rsidRPr="001A7B82">
        <w:t>gNB</w:t>
      </w:r>
      <w:proofErr w:type="spellEnd"/>
      <w:r w:rsidRPr="001A7B82">
        <w:t xml:space="preserve"> uncertainty on absolute level</w:t>
      </w:r>
      <w:r>
        <w:t xml:space="preserve"> is described in [6]</w:t>
      </w:r>
      <w:r>
        <w:rPr>
          <w:sz w:val="22"/>
        </w:rPr>
        <w:t>.</w:t>
      </w:r>
    </w:p>
    <w:p w:rsidR="002A544F" w:rsidRDefault="002A544F" w:rsidP="002A544F">
      <w:pPr>
        <w:spacing w:before="120" w:after="120"/>
        <w:rPr>
          <w:sz w:val="22"/>
        </w:rPr>
      </w:pPr>
      <w:r w:rsidRPr="001B6D81">
        <w:rPr>
          <w:b/>
          <w:sz w:val="22"/>
        </w:rPr>
        <w:t xml:space="preserve">Proposal </w:t>
      </w:r>
      <w:r>
        <w:rPr>
          <w:b/>
          <w:sz w:val="22"/>
        </w:rPr>
        <w:t>6</w:t>
      </w:r>
      <w:r w:rsidRPr="001B6D81">
        <w:rPr>
          <w:b/>
          <w:sz w:val="22"/>
        </w:rPr>
        <w:t xml:space="preserve">: </w:t>
      </w:r>
      <w:r w:rsidRPr="006822B9">
        <w:rPr>
          <w:b/>
          <w:sz w:val="22"/>
        </w:rPr>
        <w:t xml:space="preserve">Set </w:t>
      </w:r>
      <w:proofErr w:type="spellStart"/>
      <w:r w:rsidRPr="006822B9">
        <w:rPr>
          <w:b/>
          <w:sz w:val="22"/>
        </w:rPr>
        <w:t>gNB</w:t>
      </w:r>
      <w:proofErr w:type="spellEnd"/>
      <w:r w:rsidRPr="006822B9">
        <w:rPr>
          <w:b/>
          <w:sz w:val="22"/>
        </w:rPr>
        <w:t xml:space="preserve"> uncertainty on absolute level as 2.85 dB</w:t>
      </w:r>
      <w:r w:rsidR="00A70948" w:rsidRPr="006822B9">
        <w:rPr>
          <w:b/>
          <w:sz w:val="22"/>
        </w:rPr>
        <w:t xml:space="preserve"> for 15 cm and 30 cm QZ in EIS measurements</w:t>
      </w:r>
      <w:r w:rsidRPr="006822B9">
        <w:rPr>
          <w:sz w:val="22"/>
        </w:rPr>
        <w:t>.</w:t>
      </w:r>
      <w:r w:rsidRPr="001B6D81">
        <w:rPr>
          <w:sz w:val="22"/>
        </w:rPr>
        <w:t xml:space="preserve"> </w:t>
      </w:r>
    </w:p>
    <w:p w:rsidR="002A544F" w:rsidRDefault="002A544F" w:rsidP="00FB480B">
      <w:pPr>
        <w:spacing w:before="120" w:after="120"/>
        <w:rPr>
          <w:sz w:val="22"/>
        </w:rPr>
      </w:pPr>
    </w:p>
    <w:p w:rsidR="008765BC" w:rsidRPr="001B6D81" w:rsidRDefault="008765BC" w:rsidP="005F4472">
      <w:pPr>
        <w:spacing w:before="120" w:after="120"/>
        <w:rPr>
          <w:rFonts w:eastAsia="MS Mincho"/>
          <w:i/>
          <w:sz w:val="24"/>
          <w:lang w:val="en-GB"/>
        </w:rPr>
      </w:pPr>
    </w:p>
    <w:p w:rsidR="00D22D75" w:rsidRPr="00BC6FBB" w:rsidRDefault="004425CF" w:rsidP="00D22D75">
      <w:pPr>
        <w:spacing w:before="120" w:after="120"/>
        <w:rPr>
          <w:lang w:val="en-GB"/>
        </w:rPr>
      </w:pPr>
      <w: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</w:rPr>
      </w:pPr>
      <w:r>
        <w:rPr>
          <w:rFonts w:hint="eastAsia"/>
          <w:b/>
          <w:noProof w:val="0"/>
        </w:rPr>
        <w:t>Conclusion</w:t>
      </w:r>
    </w:p>
    <w:p w:rsidR="00D22D75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B90DC3">
        <w:rPr>
          <w:rFonts w:eastAsia="MS Mincho" w:hint="eastAsia"/>
          <w:sz w:val="22"/>
          <w:lang w:val="en-GB"/>
        </w:rPr>
        <w:t xml:space="preserve">In this contribution, we </w:t>
      </w:r>
      <w:r w:rsidRPr="00B90DC3">
        <w:rPr>
          <w:rFonts w:eastAsia="MS Mincho"/>
          <w:sz w:val="22"/>
          <w:lang w:val="en-GB"/>
        </w:rPr>
        <w:t xml:space="preserve">provided company views on </w:t>
      </w:r>
      <w:r w:rsidR="00F17BD1">
        <w:rPr>
          <w:rFonts w:eastAsia="MS Mincho"/>
          <w:sz w:val="22"/>
          <w:lang w:val="en-GB"/>
        </w:rPr>
        <w:t xml:space="preserve">the remaining MU terms </w:t>
      </w:r>
      <w:r w:rsidR="00A70948">
        <w:rPr>
          <w:rFonts w:eastAsia="MS Mincho"/>
          <w:sz w:val="22"/>
          <w:lang w:val="en-GB"/>
        </w:rPr>
        <w:t>with square brackets for REFSENS to conclude with REFSENS total expanded uncertainty.</w:t>
      </w:r>
    </w:p>
    <w:p w:rsidR="001B6D81" w:rsidRDefault="00A70948" w:rsidP="00D22D75">
      <w:pPr>
        <w:spacing w:before="120" w:after="120"/>
        <w:rPr>
          <w:sz w:val="22"/>
        </w:rPr>
      </w:pPr>
      <w:r w:rsidRPr="001B6D81">
        <w:rPr>
          <w:b/>
          <w:sz w:val="22"/>
        </w:rPr>
        <w:t>Proposal 1: Set Systematic error related to EIS spherical coverage as 0.2 dB</w:t>
      </w:r>
      <w:r>
        <w:rPr>
          <w:b/>
          <w:sz w:val="22"/>
        </w:rPr>
        <w:t xml:space="preserve"> for 15 cm and 30 cm QZ in EIS measurements</w:t>
      </w:r>
      <w:r w:rsidRPr="001B6D81">
        <w:rPr>
          <w:sz w:val="22"/>
        </w:rPr>
        <w:t>.</w:t>
      </w:r>
    </w:p>
    <w:p w:rsidR="00A70948" w:rsidRDefault="00A70948" w:rsidP="00D22D75">
      <w:pPr>
        <w:spacing w:before="120" w:after="120"/>
        <w:rPr>
          <w:sz w:val="22"/>
        </w:rPr>
      </w:pPr>
      <w:r w:rsidRPr="001B6D81">
        <w:rPr>
          <w:b/>
          <w:sz w:val="22"/>
        </w:rPr>
        <w:t xml:space="preserve">Proposal </w:t>
      </w:r>
      <w:r>
        <w:rPr>
          <w:b/>
          <w:sz w:val="22"/>
        </w:rPr>
        <w:t>2</w:t>
      </w:r>
      <w:r w:rsidRPr="001B6D81">
        <w:rPr>
          <w:b/>
          <w:sz w:val="22"/>
        </w:rPr>
        <w:t xml:space="preserve">: Set </w:t>
      </w:r>
      <w:r>
        <w:rPr>
          <w:b/>
          <w:sz w:val="22"/>
        </w:rPr>
        <w:t>Uncertainty of the network analyzer</w:t>
      </w:r>
      <w:r w:rsidRPr="001B6D81">
        <w:rPr>
          <w:b/>
          <w:sz w:val="22"/>
        </w:rPr>
        <w:t xml:space="preserve"> as 0.</w:t>
      </w:r>
      <w:r>
        <w:rPr>
          <w:b/>
          <w:sz w:val="22"/>
        </w:rPr>
        <w:t>73</w:t>
      </w:r>
      <w:r w:rsidRPr="001B6D81">
        <w:rPr>
          <w:b/>
          <w:sz w:val="22"/>
        </w:rPr>
        <w:t xml:space="preserve"> dB</w:t>
      </w:r>
      <w:r>
        <w:rPr>
          <w:b/>
          <w:sz w:val="22"/>
        </w:rPr>
        <w:t xml:space="preserve"> for 15 cm and 30 cm QZ in EIS measurements</w:t>
      </w:r>
      <w:r w:rsidRPr="001B6D81">
        <w:rPr>
          <w:sz w:val="22"/>
        </w:rPr>
        <w:t>.</w:t>
      </w:r>
    </w:p>
    <w:p w:rsidR="00A70948" w:rsidRDefault="00A70948" w:rsidP="00D22D75">
      <w:pPr>
        <w:spacing w:before="120" w:after="120"/>
        <w:rPr>
          <w:sz w:val="22"/>
        </w:rPr>
      </w:pPr>
      <w:r w:rsidRPr="001B6D81">
        <w:rPr>
          <w:b/>
          <w:sz w:val="22"/>
        </w:rPr>
        <w:t xml:space="preserve">Proposal </w:t>
      </w:r>
      <w:r>
        <w:rPr>
          <w:b/>
          <w:sz w:val="22"/>
        </w:rPr>
        <w:t>3</w:t>
      </w:r>
      <w:r w:rsidRPr="001B6D81">
        <w:rPr>
          <w:b/>
          <w:sz w:val="22"/>
        </w:rPr>
        <w:t xml:space="preserve">: Set </w:t>
      </w:r>
      <w:r w:rsidRPr="00A63CBC">
        <w:rPr>
          <w:b/>
          <w:sz w:val="22"/>
        </w:rPr>
        <w:t>Misalignment of positioning System</w:t>
      </w:r>
      <w:r w:rsidRPr="001B6D81">
        <w:rPr>
          <w:b/>
          <w:sz w:val="22"/>
        </w:rPr>
        <w:t xml:space="preserve"> as </w:t>
      </w:r>
      <w:r>
        <w:rPr>
          <w:b/>
          <w:sz w:val="22"/>
        </w:rPr>
        <w:t>0</w:t>
      </w:r>
      <w:r w:rsidRPr="001B6D81">
        <w:rPr>
          <w:b/>
          <w:sz w:val="22"/>
        </w:rPr>
        <w:t xml:space="preserve"> dB</w:t>
      </w:r>
      <w:r>
        <w:rPr>
          <w:b/>
          <w:sz w:val="22"/>
        </w:rPr>
        <w:t xml:space="preserve"> for 15 cm and 30 cm QZ in EIS measurements</w:t>
      </w:r>
      <w:r w:rsidRPr="001B6D81">
        <w:rPr>
          <w:sz w:val="22"/>
        </w:rPr>
        <w:t>.</w:t>
      </w:r>
    </w:p>
    <w:p w:rsidR="00A70948" w:rsidRDefault="00A70948" w:rsidP="00D22D75">
      <w:pPr>
        <w:spacing w:before="120" w:after="120"/>
        <w:rPr>
          <w:sz w:val="22"/>
        </w:rPr>
      </w:pPr>
      <w:r w:rsidRPr="001B6D81">
        <w:rPr>
          <w:b/>
          <w:sz w:val="22"/>
        </w:rPr>
        <w:t xml:space="preserve">Proposal </w:t>
      </w:r>
      <w:r>
        <w:rPr>
          <w:b/>
          <w:sz w:val="22"/>
        </w:rPr>
        <w:t>4</w:t>
      </w:r>
      <w:r w:rsidRPr="001B6D81">
        <w:rPr>
          <w:b/>
          <w:sz w:val="22"/>
        </w:rPr>
        <w:t xml:space="preserve">: Set </w:t>
      </w:r>
      <w:r w:rsidRPr="00FB480B">
        <w:rPr>
          <w:b/>
          <w:sz w:val="22"/>
        </w:rPr>
        <w:t>Positioning and pointing misalignment between the reference antenna and the measurement antenna</w:t>
      </w:r>
      <w:r w:rsidRPr="001B6D81">
        <w:rPr>
          <w:b/>
          <w:sz w:val="22"/>
        </w:rPr>
        <w:t xml:space="preserve"> as 0.</w:t>
      </w:r>
      <w:r>
        <w:rPr>
          <w:b/>
          <w:sz w:val="22"/>
        </w:rPr>
        <w:t>01</w:t>
      </w:r>
      <w:r w:rsidRPr="001B6D81">
        <w:rPr>
          <w:b/>
          <w:sz w:val="22"/>
        </w:rPr>
        <w:t xml:space="preserve"> dB</w:t>
      </w:r>
      <w:r>
        <w:rPr>
          <w:b/>
          <w:sz w:val="22"/>
        </w:rPr>
        <w:t xml:space="preserve"> for 15 cm and 30 cm QZ in EIS measurements</w:t>
      </w:r>
      <w:r w:rsidRPr="001B6D81">
        <w:rPr>
          <w:sz w:val="22"/>
        </w:rPr>
        <w:t>.</w:t>
      </w:r>
    </w:p>
    <w:p w:rsidR="00A70948" w:rsidRPr="006822B9" w:rsidRDefault="00A70948" w:rsidP="00D22D75">
      <w:pPr>
        <w:spacing w:before="120" w:after="120"/>
        <w:rPr>
          <w:sz w:val="22"/>
        </w:rPr>
      </w:pPr>
      <w:r w:rsidRPr="001B6D81">
        <w:rPr>
          <w:b/>
          <w:sz w:val="22"/>
        </w:rPr>
        <w:t xml:space="preserve">Proposal </w:t>
      </w:r>
      <w:r>
        <w:rPr>
          <w:b/>
          <w:sz w:val="22"/>
        </w:rPr>
        <w:t>5</w:t>
      </w:r>
      <w:r w:rsidRPr="001B6D81">
        <w:rPr>
          <w:b/>
          <w:sz w:val="22"/>
        </w:rPr>
        <w:t xml:space="preserve">: Set </w:t>
      </w:r>
      <w:r>
        <w:rPr>
          <w:b/>
          <w:sz w:val="22"/>
        </w:rPr>
        <w:t>Amplifier uncertainty</w:t>
      </w:r>
      <w:r w:rsidRPr="001B6D81">
        <w:rPr>
          <w:b/>
          <w:sz w:val="22"/>
        </w:rPr>
        <w:t xml:space="preserve"> </w:t>
      </w:r>
      <w:r w:rsidRPr="006822B9">
        <w:rPr>
          <w:b/>
          <w:sz w:val="22"/>
        </w:rPr>
        <w:t>as 2.1 dB for DUT measurement stage and 0 dB for calibration stage for 15 cm and 30 cm QZ in EIS measurements</w:t>
      </w:r>
      <w:r w:rsidRPr="006822B9">
        <w:rPr>
          <w:sz w:val="22"/>
        </w:rPr>
        <w:t>.</w:t>
      </w:r>
    </w:p>
    <w:p w:rsidR="00A70948" w:rsidRPr="006822B9" w:rsidRDefault="00A70948" w:rsidP="00D22D75">
      <w:pPr>
        <w:spacing w:before="120" w:after="120"/>
        <w:rPr>
          <w:rFonts w:eastAsia="MS Mincho"/>
          <w:b/>
          <w:sz w:val="22"/>
          <w:lang w:val="en-GB"/>
        </w:rPr>
      </w:pPr>
      <w:r w:rsidRPr="006822B9">
        <w:rPr>
          <w:b/>
          <w:sz w:val="22"/>
        </w:rPr>
        <w:t xml:space="preserve">Proposal 6: Set </w:t>
      </w:r>
      <w:proofErr w:type="spellStart"/>
      <w:r w:rsidRPr="006822B9">
        <w:rPr>
          <w:b/>
          <w:sz w:val="22"/>
        </w:rPr>
        <w:t>gNB</w:t>
      </w:r>
      <w:proofErr w:type="spellEnd"/>
      <w:r w:rsidRPr="006822B9">
        <w:rPr>
          <w:b/>
          <w:sz w:val="22"/>
        </w:rPr>
        <w:t xml:space="preserve"> uncertainty on absolute level as 2.85 dB for 15 cm and 30 cm QZ in EIS measurements</w:t>
      </w:r>
      <w:r w:rsidRPr="006822B9">
        <w:rPr>
          <w:sz w:val="22"/>
        </w:rPr>
        <w:t>.</w:t>
      </w:r>
    </w:p>
    <w:p w:rsidR="00D22D75" w:rsidRDefault="004425CF" w:rsidP="00D22D75">
      <w:pPr>
        <w:spacing w:before="120" w:after="120"/>
      </w:pPr>
      <w:r w:rsidRPr="006822B9">
        <w:pict>
          <v:rect id="_x0000_i1026" style="width:482.05pt;height:1pt" o:hralign="center" o:hrstd="t" o:hrnoshade="t" o:hr="t" fillcolor="#0d0d0d" stroked="f">
            <v:textbox inset="5.85pt,.7pt,5.85pt,.7pt"/>
          </v:rect>
        </w:pict>
      </w:r>
      <w:bookmarkStart w:id="1" w:name="_GoBack"/>
      <w:bookmarkEnd w:id="1"/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4</w:t>
      </w:r>
      <w:r w:rsidRPr="00307851">
        <w:rPr>
          <w:b/>
          <w:noProof w:val="0"/>
        </w:rPr>
        <w:t>.</w:t>
      </w:r>
      <w:r w:rsidRPr="00307851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References</w:t>
      </w:r>
    </w:p>
    <w:p w:rsidR="00D22D75" w:rsidRPr="00C76036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bookmarkStart w:id="2" w:name="_Ref521398402"/>
      <w:bookmarkStart w:id="3" w:name="_Ref520225792"/>
      <w:bookmarkStart w:id="4" w:name="_Hlk528392332"/>
      <w:r w:rsidRPr="00C76036">
        <w:rPr>
          <w:sz w:val="24"/>
        </w:rPr>
        <w:t>TR 38.903, “NR; Derivation of test tolerances and measurement uncertainty for User Equipment (UE) conformance test cases”, V15.</w:t>
      </w:r>
      <w:r w:rsidR="0056274B">
        <w:rPr>
          <w:sz w:val="24"/>
        </w:rPr>
        <w:t>2</w:t>
      </w:r>
      <w:r w:rsidRPr="00C76036">
        <w:rPr>
          <w:sz w:val="24"/>
        </w:rPr>
        <w:t>.0 (201</w:t>
      </w:r>
      <w:r w:rsidR="0056274B">
        <w:rPr>
          <w:sz w:val="24"/>
        </w:rPr>
        <w:t>9</w:t>
      </w:r>
      <w:r w:rsidRPr="00C76036">
        <w:rPr>
          <w:sz w:val="24"/>
        </w:rPr>
        <w:t>-</w:t>
      </w:r>
      <w:r w:rsidR="0056274B">
        <w:rPr>
          <w:sz w:val="24"/>
        </w:rPr>
        <w:t>03</w:t>
      </w:r>
      <w:r w:rsidRPr="00C76036">
        <w:rPr>
          <w:sz w:val="24"/>
        </w:rPr>
        <w:t>)</w:t>
      </w:r>
      <w:bookmarkEnd w:id="2"/>
    </w:p>
    <w:p w:rsidR="00E05CD9" w:rsidRPr="00C76036" w:rsidRDefault="00E05CD9" w:rsidP="00E05CD9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bookmarkStart w:id="5" w:name="_Ref521612205"/>
      <w:bookmarkEnd w:id="3"/>
      <w:r w:rsidRPr="00C76036">
        <w:rPr>
          <w:sz w:val="24"/>
        </w:rPr>
        <w:t>R5-187230, “</w:t>
      </w:r>
      <w:r w:rsidR="0056274B" w:rsidRPr="0056274B">
        <w:rPr>
          <w:rFonts w:eastAsia="MS Mincho"/>
          <w:sz w:val="24"/>
        </w:rPr>
        <w:t>On Calibration VNA uncertainty</w:t>
      </w:r>
      <w:r w:rsidRPr="00C76036">
        <w:rPr>
          <w:sz w:val="24"/>
        </w:rPr>
        <w:t xml:space="preserve">”, </w:t>
      </w:r>
      <w:r w:rsidR="0056274B">
        <w:rPr>
          <w:sz w:val="24"/>
        </w:rPr>
        <w:t>Keysight Technologies</w:t>
      </w:r>
      <w:r w:rsidRPr="00C76036">
        <w:rPr>
          <w:sz w:val="24"/>
        </w:rPr>
        <w:t>, 3GPP TSG-RAN WG5 Meeting #8</w:t>
      </w:r>
      <w:r w:rsidR="0056274B">
        <w:rPr>
          <w:sz w:val="24"/>
        </w:rPr>
        <w:t>2</w:t>
      </w:r>
      <w:r w:rsidRPr="00C76036">
        <w:rPr>
          <w:sz w:val="24"/>
        </w:rPr>
        <w:t xml:space="preserve">, </w:t>
      </w:r>
      <w:r w:rsidR="0056274B">
        <w:rPr>
          <w:sz w:val="24"/>
        </w:rPr>
        <w:t>Athens</w:t>
      </w:r>
      <w:r w:rsidRPr="00C76036">
        <w:rPr>
          <w:sz w:val="24"/>
        </w:rPr>
        <w:t xml:space="preserve">, </w:t>
      </w:r>
      <w:r w:rsidR="0056274B">
        <w:rPr>
          <w:sz w:val="24"/>
        </w:rPr>
        <w:t>Greece,</w:t>
      </w:r>
      <w:r w:rsidRPr="00C76036">
        <w:rPr>
          <w:sz w:val="24"/>
        </w:rPr>
        <w:t xml:space="preserve"> </w:t>
      </w:r>
      <w:r w:rsidR="0056274B">
        <w:rPr>
          <w:sz w:val="24"/>
        </w:rPr>
        <w:t>February</w:t>
      </w:r>
      <w:r w:rsidRPr="00C76036">
        <w:rPr>
          <w:sz w:val="24"/>
        </w:rPr>
        <w:t xml:space="preserve"> 201</w:t>
      </w:r>
      <w:r w:rsidR="0056274B">
        <w:rPr>
          <w:sz w:val="24"/>
        </w:rPr>
        <w:t>9</w:t>
      </w:r>
    </w:p>
    <w:p w:rsidR="00D22D75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>R5-190</w:t>
      </w:r>
      <w:r w:rsidR="001554BF">
        <w:rPr>
          <w:sz w:val="24"/>
        </w:rPr>
        <w:t>805</w:t>
      </w:r>
      <w:r w:rsidRPr="00C76036">
        <w:rPr>
          <w:sz w:val="24"/>
        </w:rPr>
        <w:t>, “</w:t>
      </w:r>
      <w:r w:rsidR="001554BF" w:rsidRPr="001554BF">
        <w:rPr>
          <w:sz w:val="24"/>
        </w:rPr>
        <w:t>On MU Element for Positioning and pointing misalignment between the reference antenna and the measurement antenna</w:t>
      </w:r>
      <w:r w:rsidRPr="00C76036">
        <w:rPr>
          <w:sz w:val="24"/>
        </w:rPr>
        <w:t>”</w:t>
      </w:r>
      <w:r w:rsidR="001554BF">
        <w:rPr>
          <w:sz w:val="24"/>
        </w:rPr>
        <w:t>, Keysight Technologies,</w:t>
      </w:r>
      <w:r w:rsidRPr="00C76036">
        <w:rPr>
          <w:sz w:val="24"/>
        </w:rPr>
        <w:t xml:space="preserve"> 3GPP TSG-RAN WG5 Meeting #4-5G-NR </w:t>
      </w:r>
      <w:proofErr w:type="spellStart"/>
      <w:r w:rsidRPr="00C76036">
        <w:rPr>
          <w:sz w:val="24"/>
        </w:rPr>
        <w:t>Adhoc</w:t>
      </w:r>
      <w:proofErr w:type="spellEnd"/>
      <w:r w:rsidRPr="00C76036">
        <w:rPr>
          <w:sz w:val="24"/>
        </w:rPr>
        <w:t>, Singapore, Singapore, January 2019</w:t>
      </w:r>
    </w:p>
    <w:p w:rsidR="00A63CBC" w:rsidRDefault="00A63CBC" w:rsidP="00A63CBC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>R5-190</w:t>
      </w:r>
      <w:r>
        <w:rPr>
          <w:sz w:val="24"/>
        </w:rPr>
        <w:t>389</w:t>
      </w:r>
      <w:r w:rsidRPr="00C76036">
        <w:rPr>
          <w:sz w:val="24"/>
        </w:rPr>
        <w:t>, “</w:t>
      </w:r>
      <w:r w:rsidRPr="00A63CBC">
        <w:rPr>
          <w:sz w:val="24"/>
        </w:rPr>
        <w:t>On MU Element for Positioning Misalignment</w:t>
      </w:r>
      <w:r w:rsidRPr="00C76036">
        <w:rPr>
          <w:sz w:val="24"/>
        </w:rPr>
        <w:t>”</w:t>
      </w:r>
      <w:r>
        <w:rPr>
          <w:sz w:val="24"/>
        </w:rPr>
        <w:t>, Keysight Technologies,</w:t>
      </w:r>
      <w:r w:rsidRPr="00C76036">
        <w:rPr>
          <w:sz w:val="24"/>
        </w:rPr>
        <w:t xml:space="preserve"> 3GPP TSG-RAN WG5 Meeting #4-5G-NR </w:t>
      </w:r>
      <w:proofErr w:type="spellStart"/>
      <w:r w:rsidRPr="00C76036">
        <w:rPr>
          <w:sz w:val="24"/>
        </w:rPr>
        <w:t>Adhoc</w:t>
      </w:r>
      <w:proofErr w:type="spellEnd"/>
      <w:r w:rsidRPr="00C76036">
        <w:rPr>
          <w:sz w:val="24"/>
        </w:rPr>
        <w:t>, Singapore, Singapore, January 2019</w:t>
      </w:r>
    </w:p>
    <w:p w:rsidR="00A63CBC" w:rsidRDefault="00E4743D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>R5-1</w:t>
      </w:r>
      <w:r>
        <w:rPr>
          <w:sz w:val="24"/>
        </w:rPr>
        <w:t>91615</w:t>
      </w:r>
      <w:r w:rsidRPr="00C76036">
        <w:rPr>
          <w:sz w:val="24"/>
        </w:rPr>
        <w:t>, “</w:t>
      </w:r>
      <w:r w:rsidRPr="00E4743D">
        <w:rPr>
          <w:rFonts w:eastAsia="MS Mincho"/>
          <w:sz w:val="24"/>
        </w:rPr>
        <w:t>On Amplifiers uncertainty</w:t>
      </w:r>
      <w:r w:rsidRPr="00C76036">
        <w:rPr>
          <w:sz w:val="24"/>
        </w:rPr>
        <w:t xml:space="preserve">”, </w:t>
      </w:r>
      <w:r>
        <w:rPr>
          <w:sz w:val="24"/>
        </w:rPr>
        <w:t>Keysight Technologies</w:t>
      </w:r>
      <w:r w:rsidRPr="00C76036">
        <w:rPr>
          <w:sz w:val="24"/>
        </w:rPr>
        <w:t>, 3GPP TSG-RAN WG5 Meeting #8</w:t>
      </w:r>
      <w:r>
        <w:rPr>
          <w:sz w:val="24"/>
        </w:rPr>
        <w:t>2</w:t>
      </w:r>
      <w:r w:rsidRPr="00C76036">
        <w:rPr>
          <w:sz w:val="24"/>
        </w:rPr>
        <w:t xml:space="preserve">, </w:t>
      </w:r>
      <w:r>
        <w:rPr>
          <w:sz w:val="24"/>
        </w:rPr>
        <w:t>Athens</w:t>
      </w:r>
      <w:r w:rsidRPr="00C76036">
        <w:rPr>
          <w:sz w:val="24"/>
        </w:rPr>
        <w:t xml:space="preserve">, </w:t>
      </w:r>
      <w:r>
        <w:rPr>
          <w:sz w:val="24"/>
        </w:rPr>
        <w:t>Greece,</w:t>
      </w:r>
      <w:r w:rsidRPr="00C76036">
        <w:rPr>
          <w:sz w:val="24"/>
        </w:rPr>
        <w:t xml:space="preserve"> </w:t>
      </w:r>
      <w:r>
        <w:rPr>
          <w:sz w:val="24"/>
        </w:rPr>
        <w:t>February</w:t>
      </w:r>
      <w:r w:rsidRPr="00C76036">
        <w:rPr>
          <w:sz w:val="24"/>
        </w:rPr>
        <w:t xml:space="preserve"> 201</w:t>
      </w:r>
      <w:r>
        <w:rPr>
          <w:sz w:val="24"/>
        </w:rPr>
        <w:t>9</w:t>
      </w:r>
    </w:p>
    <w:p w:rsidR="00634BE6" w:rsidRPr="00C76036" w:rsidRDefault="00634BE6" w:rsidP="00BC1CA3">
      <w:p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ind w:left="360"/>
        <w:textAlignment w:val="baseline"/>
        <w:rPr>
          <w:sz w:val="24"/>
        </w:rPr>
      </w:pPr>
    </w:p>
    <w:bookmarkEnd w:id="4"/>
    <w:bookmarkEnd w:id="5"/>
    <w:p w:rsidR="00D22D75" w:rsidRPr="000C2198" w:rsidRDefault="00D22D75" w:rsidP="00D22D75">
      <w:pPr>
        <w:spacing w:before="120" w:after="120"/>
        <w:rPr>
          <w:rFonts w:eastAsia="MS Mincho"/>
        </w:rPr>
      </w:pPr>
    </w:p>
    <w:p w:rsidR="00D64B42" w:rsidRDefault="00D64B42">
      <w:pPr>
        <w:spacing w:before="120" w:after="120"/>
      </w:pPr>
    </w:p>
    <w:sectPr w:rsidR="00D64B42">
      <w:head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5CF" w:rsidRDefault="004425CF">
      <w:pPr>
        <w:spacing w:before="120" w:after="120"/>
      </w:pPr>
      <w:r>
        <w:separator/>
      </w:r>
    </w:p>
  </w:endnote>
  <w:endnote w:type="continuationSeparator" w:id="0">
    <w:p w:rsidR="004425CF" w:rsidRDefault="004425CF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F27469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5CF" w:rsidRDefault="004425CF">
      <w:pPr>
        <w:spacing w:before="120" w:after="120"/>
      </w:pPr>
      <w:r>
        <w:separator/>
      </w:r>
    </w:p>
  </w:footnote>
  <w:footnote w:type="continuationSeparator" w:id="0">
    <w:p w:rsidR="004425CF" w:rsidRDefault="004425CF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F27469" w:rsidP="00920DEF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7859C1"/>
    <w:multiLevelType w:val="hybridMultilevel"/>
    <w:tmpl w:val="F7CCDC80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85F"/>
    <w:multiLevelType w:val="hybridMultilevel"/>
    <w:tmpl w:val="3FFE66E6"/>
    <w:lvl w:ilvl="0" w:tplc="0078377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106AB"/>
    <w:multiLevelType w:val="hybridMultilevel"/>
    <w:tmpl w:val="1616996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C091565"/>
    <w:multiLevelType w:val="hybridMultilevel"/>
    <w:tmpl w:val="E03CE342"/>
    <w:lvl w:ilvl="0" w:tplc="6E90E4F8">
      <w:start w:val="2"/>
      <w:numFmt w:val="bullet"/>
      <w:lvlText w:val="-"/>
      <w:lvlJc w:val="left"/>
      <w:pPr>
        <w:ind w:left="77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90C526F"/>
    <w:multiLevelType w:val="hybridMultilevel"/>
    <w:tmpl w:val="6ABAFA14"/>
    <w:lvl w:ilvl="0" w:tplc="33F83FD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FA825FB"/>
    <w:multiLevelType w:val="hybridMultilevel"/>
    <w:tmpl w:val="9E942CA4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85EE7"/>
    <w:multiLevelType w:val="hybridMultilevel"/>
    <w:tmpl w:val="21D8D85A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C6D4E"/>
    <w:multiLevelType w:val="multilevel"/>
    <w:tmpl w:val="1E84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13C14BE"/>
    <w:multiLevelType w:val="hybridMultilevel"/>
    <w:tmpl w:val="FDA65ED2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B6CC9"/>
    <w:multiLevelType w:val="hybridMultilevel"/>
    <w:tmpl w:val="5E6245FE"/>
    <w:lvl w:ilvl="0" w:tplc="6E90E4F8">
      <w:start w:val="2"/>
      <w:numFmt w:val="bullet"/>
      <w:lvlText w:val="-"/>
      <w:lvlJc w:val="left"/>
      <w:pPr>
        <w:ind w:left="77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4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75"/>
    <w:rsid w:val="00025AA8"/>
    <w:rsid w:val="000C0789"/>
    <w:rsid w:val="001015BE"/>
    <w:rsid w:val="0015110C"/>
    <w:rsid w:val="001554BF"/>
    <w:rsid w:val="00163674"/>
    <w:rsid w:val="00184E03"/>
    <w:rsid w:val="00192256"/>
    <w:rsid w:val="001953BD"/>
    <w:rsid w:val="001B6D81"/>
    <w:rsid w:val="001C0D0F"/>
    <w:rsid w:val="00291147"/>
    <w:rsid w:val="002912B4"/>
    <w:rsid w:val="002A544F"/>
    <w:rsid w:val="002D77C6"/>
    <w:rsid w:val="00350F5E"/>
    <w:rsid w:val="00354EBC"/>
    <w:rsid w:val="00367BAE"/>
    <w:rsid w:val="003854E6"/>
    <w:rsid w:val="004425CF"/>
    <w:rsid w:val="00442DAB"/>
    <w:rsid w:val="00470410"/>
    <w:rsid w:val="0048303E"/>
    <w:rsid w:val="004D48DB"/>
    <w:rsid w:val="005373DD"/>
    <w:rsid w:val="0056274B"/>
    <w:rsid w:val="00563618"/>
    <w:rsid w:val="00592AC7"/>
    <w:rsid w:val="005C3564"/>
    <w:rsid w:val="005F4472"/>
    <w:rsid w:val="006062E9"/>
    <w:rsid w:val="0062186C"/>
    <w:rsid w:val="006260CC"/>
    <w:rsid w:val="006272A5"/>
    <w:rsid w:val="006334E4"/>
    <w:rsid w:val="00634BE6"/>
    <w:rsid w:val="00645E11"/>
    <w:rsid w:val="00656594"/>
    <w:rsid w:val="00675C19"/>
    <w:rsid w:val="006822B9"/>
    <w:rsid w:val="00685C6A"/>
    <w:rsid w:val="006D70A1"/>
    <w:rsid w:val="006E62B4"/>
    <w:rsid w:val="0071398A"/>
    <w:rsid w:val="0073377B"/>
    <w:rsid w:val="00755786"/>
    <w:rsid w:val="00776C93"/>
    <w:rsid w:val="007A028A"/>
    <w:rsid w:val="007A12F1"/>
    <w:rsid w:val="007C0EA6"/>
    <w:rsid w:val="00806E7F"/>
    <w:rsid w:val="00847010"/>
    <w:rsid w:val="0087580A"/>
    <w:rsid w:val="008765BC"/>
    <w:rsid w:val="008B5DB9"/>
    <w:rsid w:val="008B7C23"/>
    <w:rsid w:val="008D1075"/>
    <w:rsid w:val="008D2630"/>
    <w:rsid w:val="008E1A7F"/>
    <w:rsid w:val="00906AF6"/>
    <w:rsid w:val="00911E3C"/>
    <w:rsid w:val="009144DE"/>
    <w:rsid w:val="009322BD"/>
    <w:rsid w:val="00933DCE"/>
    <w:rsid w:val="00964DC5"/>
    <w:rsid w:val="0098637A"/>
    <w:rsid w:val="00986D4C"/>
    <w:rsid w:val="009A12CE"/>
    <w:rsid w:val="00A37F69"/>
    <w:rsid w:val="00A470FD"/>
    <w:rsid w:val="00A63CBC"/>
    <w:rsid w:val="00A70948"/>
    <w:rsid w:val="00A94CF2"/>
    <w:rsid w:val="00B0758D"/>
    <w:rsid w:val="00B27D3F"/>
    <w:rsid w:val="00B51416"/>
    <w:rsid w:val="00B54694"/>
    <w:rsid w:val="00B7356F"/>
    <w:rsid w:val="00B75489"/>
    <w:rsid w:val="00B90DC3"/>
    <w:rsid w:val="00BA1D77"/>
    <w:rsid w:val="00BA4A0C"/>
    <w:rsid w:val="00BC1CA3"/>
    <w:rsid w:val="00BC201A"/>
    <w:rsid w:val="00C16409"/>
    <w:rsid w:val="00C30E9C"/>
    <w:rsid w:val="00C60A5B"/>
    <w:rsid w:val="00C75D05"/>
    <w:rsid w:val="00C76036"/>
    <w:rsid w:val="00C940AC"/>
    <w:rsid w:val="00C97B24"/>
    <w:rsid w:val="00D22D75"/>
    <w:rsid w:val="00D401F1"/>
    <w:rsid w:val="00D62247"/>
    <w:rsid w:val="00D64B42"/>
    <w:rsid w:val="00D7796C"/>
    <w:rsid w:val="00D858A7"/>
    <w:rsid w:val="00DB4710"/>
    <w:rsid w:val="00DC3AFE"/>
    <w:rsid w:val="00E0140D"/>
    <w:rsid w:val="00E05CD9"/>
    <w:rsid w:val="00E455DC"/>
    <w:rsid w:val="00E4743D"/>
    <w:rsid w:val="00E556D4"/>
    <w:rsid w:val="00E813FF"/>
    <w:rsid w:val="00EA3C41"/>
    <w:rsid w:val="00EB4B1A"/>
    <w:rsid w:val="00EE4DE8"/>
    <w:rsid w:val="00F05BA1"/>
    <w:rsid w:val="00F14BEE"/>
    <w:rsid w:val="00F17BD1"/>
    <w:rsid w:val="00F27469"/>
    <w:rsid w:val="00FA0D24"/>
    <w:rsid w:val="00FB480B"/>
    <w:rsid w:val="00FC02C4"/>
    <w:rsid w:val="00FC6C34"/>
    <w:rsid w:val="00FD2240"/>
    <w:rsid w:val="00FE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20ACB"/>
  <w15:chartTrackingRefBased/>
  <w15:docId w15:val="{A9294825-38F5-4646-A223-6191E96A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D75"/>
    <w:pPr>
      <w:spacing w:beforeLines="50" w:before="50" w:afterLines="50" w:after="5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26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65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22D7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22D7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TH">
    <w:name w:val="TH"/>
    <w:basedOn w:val="Normal"/>
    <w:qFormat/>
    <w:rsid w:val="00D22D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next w:val="Normal"/>
    <w:link w:val="CRCoverPageChar"/>
    <w:rsid w:val="00D22D7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22D75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table" w:styleId="TableGrid">
    <w:name w:val="Table Grid"/>
    <w:basedOn w:val="TableNormal"/>
    <w:rsid w:val="00D22D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D22D75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CD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D9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D263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ListParagraph">
    <w:name w:val="List Paragraph"/>
    <w:basedOn w:val="Normal"/>
    <w:uiPriority w:val="34"/>
    <w:qFormat/>
    <w:rsid w:val="00E813F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5110C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65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34121-E291-4798-ABBF-AE1D12EBE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Emilio Ruiz</cp:lastModifiedBy>
  <cp:revision>16</cp:revision>
  <dcterms:created xsi:type="dcterms:W3CDTF">2019-02-16T00:25:00Z</dcterms:created>
  <dcterms:modified xsi:type="dcterms:W3CDTF">2019-04-03T11:41:00Z</dcterms:modified>
</cp:coreProperties>
</file>